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国家电影事业发展专项资金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年度优秀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国产影片发行和宣传推广资助项目申报书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before="120" w:after="240" w:line="600" w:lineRule="exact"/>
        <w:rPr>
          <w:rFonts w:ascii="Times New Roman" w:hAnsi="Times New Roman" w:cs="Times New Roman"/>
          <w:kern w:val="0"/>
          <w:sz w:val="22"/>
          <w:szCs w:val="22"/>
        </w:rPr>
      </w:pPr>
      <w:bookmarkStart w:id="0" w:name="_Hlk36152155"/>
    </w:p>
    <w:p>
      <w:pPr>
        <w:spacing w:before="120" w:after="240" w:line="600" w:lineRule="exact"/>
        <w:rPr>
          <w:rFonts w:ascii="Times New Roman" w:hAnsi="Times New Roman" w:cs="Times New Roman"/>
          <w:kern w:val="0"/>
          <w:sz w:val="22"/>
          <w:szCs w:val="22"/>
        </w:rPr>
      </w:pPr>
    </w:p>
    <w:p>
      <w:pPr>
        <w:spacing w:before="120" w:after="240" w:line="600" w:lineRule="exact"/>
        <w:rPr>
          <w:rFonts w:ascii="Times New Roman" w:hAnsi="Times New Roman" w:cs="Times New Roman"/>
          <w:kern w:val="0"/>
          <w:sz w:val="22"/>
          <w:szCs w:val="22"/>
        </w:rPr>
      </w:pPr>
    </w:p>
    <w:p>
      <w:pPr>
        <w:spacing w:before="120" w:after="240" w:line="600" w:lineRule="exact"/>
        <w:rPr>
          <w:rFonts w:ascii="Times New Roman" w:hAnsi="Times New Roman" w:cs="Times New Roman"/>
          <w:kern w:val="0"/>
          <w:sz w:val="22"/>
          <w:szCs w:val="22"/>
        </w:rPr>
      </w:pPr>
    </w:p>
    <w:p>
      <w:pPr>
        <w:spacing w:before="120" w:after="240" w:line="600" w:lineRule="exact"/>
        <w:rPr>
          <w:rFonts w:ascii="Times New Roman" w:hAnsi="Times New Roman" w:cs="Times New Roman"/>
          <w:kern w:val="0"/>
          <w:sz w:val="22"/>
          <w:szCs w:val="22"/>
        </w:rPr>
      </w:pPr>
    </w:p>
    <w:p>
      <w:pPr>
        <w:tabs>
          <w:tab w:val="left" w:pos="10317"/>
        </w:tabs>
        <w:spacing w:before="120" w:after="240" w:line="600" w:lineRule="exact"/>
        <w:jc w:val="center"/>
        <w:rPr>
          <w:rFonts w:ascii="仿宋" w:hAnsi="仿宋" w:eastAsia="仿宋"/>
          <w:kern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项目名称</w:t>
      </w:r>
      <w:r>
        <w:rPr>
          <w:rFonts w:hint="eastAsia" w:ascii="仿宋" w:hAnsi="仿宋" w:eastAsia="仿宋" w:cs="仿宋"/>
          <w:kern w:val="0"/>
          <w:sz w:val="32"/>
          <w:szCs w:val="32"/>
        </w:rPr>
        <w:t>：</w:t>
      </w:r>
      <w:r>
        <w:rPr>
          <w:rFonts w:ascii="仿宋" w:hAnsi="仿宋" w:eastAsia="仿宋" w:cs="仿宋"/>
          <w:spacing w:val="-60"/>
          <w:kern w:val="0"/>
          <w:sz w:val="52"/>
          <w:szCs w:val="52"/>
        </w:rPr>
        <w:t>____________________</w:t>
      </w:r>
    </w:p>
    <w:p>
      <w:pPr>
        <w:tabs>
          <w:tab w:val="left" w:pos="10317"/>
        </w:tabs>
        <w:spacing w:before="120" w:after="240" w:line="760" w:lineRule="exact"/>
        <w:jc w:val="center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申报机构：</w:t>
      </w:r>
      <w:r>
        <w:rPr>
          <w:rFonts w:ascii="仿宋" w:hAnsi="仿宋" w:eastAsia="仿宋" w:cs="仿宋"/>
          <w:spacing w:val="-60"/>
          <w:kern w:val="0"/>
          <w:sz w:val="52"/>
          <w:szCs w:val="52"/>
        </w:rPr>
        <w:t>____________________</w:t>
      </w:r>
    </w:p>
    <w:p>
      <w:pPr>
        <w:tabs>
          <w:tab w:val="left" w:pos="3885"/>
        </w:tabs>
        <w:spacing w:before="120" w:after="240" w:line="760" w:lineRule="exact"/>
        <w:jc w:val="center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填表日期：</w:t>
      </w:r>
      <w:r>
        <w:rPr>
          <w:rFonts w:ascii="仿宋" w:hAnsi="仿宋" w:eastAsia="仿宋" w:cs="仿宋"/>
          <w:spacing w:val="-60"/>
          <w:kern w:val="0"/>
          <w:sz w:val="52"/>
          <w:szCs w:val="52"/>
        </w:rPr>
        <w:t>____________________</w:t>
      </w:r>
    </w:p>
    <w:p>
      <w:pPr>
        <w:tabs>
          <w:tab w:val="left" w:pos="3885"/>
        </w:tabs>
        <w:spacing w:before="120" w:after="240" w:line="760" w:lineRule="exact"/>
        <w:ind w:firstLine="1280" w:firstLineChars="400"/>
        <w:jc w:val="center"/>
        <w:rPr>
          <w:rFonts w:ascii="仿宋" w:hAnsi="仿宋" w:eastAsia="仿宋"/>
          <w:kern w:val="0"/>
          <w:sz w:val="32"/>
          <w:szCs w:val="32"/>
          <w:u w:val="single"/>
        </w:rPr>
        <w:sectPr>
          <w:headerReference r:id="rId3" w:type="default"/>
          <w:pgSz w:w="11900" w:h="16820"/>
          <w:pgMar w:top="1871" w:right="1588" w:bottom="1701" w:left="1588" w:header="720" w:footer="720" w:gutter="0"/>
          <w:pgNumType w:fmt="decimal"/>
          <w:cols w:space="720" w:num="1"/>
          <w:docGrid w:linePitch="286" w:charSpace="0"/>
        </w:sectPr>
      </w:pPr>
    </w:p>
    <w:bookmarkEnd w:id="0"/>
    <w:p>
      <w:pPr>
        <w:autoSpaceDE w:val="0"/>
        <w:autoSpaceDN w:val="0"/>
        <w:adjustRightInd w:val="0"/>
        <w:spacing w:line="600" w:lineRule="exact"/>
        <w:jc w:val="left"/>
        <w:rPr>
          <w:rFonts w:ascii="仿宋" w:eastAsia="仿宋"/>
          <w:kern w:val="0"/>
          <w:sz w:val="28"/>
          <w:szCs w:val="28"/>
        </w:rPr>
      </w:pPr>
    </w:p>
    <w:p>
      <w:pPr>
        <w:spacing w:line="600" w:lineRule="exact"/>
        <w:jc w:val="center"/>
        <w:rPr>
          <w:rFonts w:ascii="华文中宋" w:hAnsi="华文中宋" w:eastAsia="华文中宋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kern w:val="0"/>
          <w:sz w:val="44"/>
          <w:szCs w:val="44"/>
        </w:rPr>
        <w:t>申报承诺</w:t>
      </w:r>
    </w:p>
    <w:p>
      <w:pPr>
        <w:spacing w:line="600" w:lineRule="exact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一、对填报内容真实性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准确性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负责，按《国家电影事业发展专项资金202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5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年度优秀国产影片发行和宣传推广资助项目申报指南》如实申报。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二、严格遵守法律法规，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保证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影片著作权无争议，并已取得相关权益方的申报授权。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24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三、保证资助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资金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专款专用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依法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合规，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使用范围符合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申报书及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申报承诺、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绩效目标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不用于人员工资福利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支付税费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罚款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偿还债务、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影片发行和宣传推广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不相关的费用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和国家规定禁止列支的其他支出。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知晓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本申报书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具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有约束力，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能够高效规范使用资助资金，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取得预期成果，并配合做好绩效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考核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、监督审计等工作。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五、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同意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国家电影专资办根据工作需要使用本申报书资料。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     申报机构：_______________（盖章）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     法定代表人：_____________（签名）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  月  日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一、申报机构</w:t>
      </w:r>
    </w:p>
    <w:tbl>
      <w:tblPr>
        <w:tblStyle w:val="4"/>
        <w:tblpPr w:leftFromText="180" w:rightFromText="180" w:vertAnchor="text" w:horzAnchor="page" w:tblpX="1784" w:tblpY="137"/>
        <w:tblOverlap w:val="never"/>
        <w:tblW w:w="8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318"/>
        <w:gridCol w:w="3119"/>
        <w:gridCol w:w="1134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240" w:line="6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689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240" w:line="62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240" w:line="620" w:lineRule="exact"/>
              <w:jc w:val="center"/>
              <w:textAlignment w:val="auto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机构类别</w:t>
            </w:r>
          </w:p>
        </w:tc>
        <w:tc>
          <w:tcPr>
            <w:tcW w:w="689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240"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□企业法人 □事业单位 □社团组织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8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240" w:line="620" w:lineRule="exact"/>
              <w:jc w:val="center"/>
              <w:textAlignment w:val="auto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240"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240"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240"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电话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240"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8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240" w:line="620" w:lineRule="exact"/>
              <w:jc w:val="center"/>
              <w:textAlignment w:val="auto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240"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职务</w:t>
            </w:r>
          </w:p>
        </w:tc>
        <w:tc>
          <w:tcPr>
            <w:tcW w:w="55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240"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8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240" w:line="620" w:lineRule="exact"/>
              <w:jc w:val="center"/>
              <w:textAlignment w:val="auto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240"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240"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240"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职务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240"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8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240" w:line="620" w:lineRule="exact"/>
              <w:jc w:val="center"/>
              <w:textAlignment w:val="auto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240"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电话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240"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240"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邮箱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240"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240" w:line="620" w:lineRule="exact"/>
              <w:jc w:val="center"/>
              <w:textAlignment w:val="auto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240"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240"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邮编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240"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5" w:hRule="atLeast"/>
        </w:trPr>
        <w:tc>
          <w:tcPr>
            <w:tcW w:w="1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240" w:line="620" w:lineRule="exact"/>
              <w:jc w:val="center"/>
              <w:textAlignment w:val="auto"/>
              <w:rPr>
                <w:rFonts w:hint="default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机构简介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 xml:space="preserve">     （300字以内）</w:t>
            </w:r>
          </w:p>
        </w:tc>
        <w:tc>
          <w:tcPr>
            <w:tcW w:w="689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（填写请用四号仿宋字体）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主要内容包括：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1.业务范围；2.人员规模；3.近三年主要业绩等。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项目概述</w:t>
      </w:r>
    </w:p>
    <w:tbl>
      <w:tblPr>
        <w:tblStyle w:val="4"/>
        <w:tblpPr w:leftFromText="180" w:rightFromText="180" w:vertAnchor="text" w:horzAnchor="page" w:tblpX="1784" w:tblpY="137"/>
        <w:tblOverlap w:val="never"/>
        <w:tblW w:w="8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318"/>
        <w:gridCol w:w="5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8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240" w:line="620" w:lineRule="exact"/>
              <w:jc w:val="center"/>
              <w:textAlignment w:val="auto"/>
              <w:rPr>
                <w:rFonts w:hint="default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影片概况（500字左右）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240" w:line="6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影片</w:t>
            </w:r>
          </w:p>
        </w:tc>
        <w:tc>
          <w:tcPr>
            <w:tcW w:w="5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240" w:line="62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0" w:hRule="atLeast"/>
        </w:trPr>
        <w:tc>
          <w:tcPr>
            <w:tcW w:w="18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240" w:line="620" w:lineRule="exact"/>
              <w:jc w:val="center"/>
              <w:textAlignment w:val="auto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240" w:line="620" w:lineRule="exact"/>
              <w:ind w:left="280" w:hanging="280" w:hangingChars="10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公映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240" w:line="620" w:lineRule="exact"/>
              <w:ind w:left="280" w:hanging="280" w:hangingChars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558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已公映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时间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：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240"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计划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公映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时间：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年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0" w:hRule="atLeast"/>
        </w:trPr>
        <w:tc>
          <w:tcPr>
            <w:tcW w:w="18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240" w:line="620" w:lineRule="exact"/>
              <w:jc w:val="center"/>
              <w:textAlignment w:val="auto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689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（填写请用四号仿宋字体）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主要内容包括：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1.影片类型和题材；2.主要出品单位；3.主创人员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如导演、编剧为40岁以下人员，请注明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；4.完整故事梗概（200字左右）；5.影片思想性、艺术性、观赏性评价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重点围绕思想内涵、艺术创新、制作亮点等分条目陈述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；6.获奖或提名情况。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40" w:hRule="atLeast"/>
        </w:trPr>
        <w:tc>
          <w:tcPr>
            <w:tcW w:w="1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240" w:line="620" w:lineRule="exact"/>
              <w:jc w:val="center"/>
              <w:textAlignment w:val="auto"/>
              <w:rPr>
                <w:rFonts w:hint="default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已完成或计划实施的发行和宣传推广工作情况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 xml:space="preserve">                  （300字左右）</w:t>
            </w:r>
          </w:p>
        </w:tc>
        <w:tc>
          <w:tcPr>
            <w:tcW w:w="689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（填写请用四号仿宋字体）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主要内容包括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影片制作投入资金额度（万元）；2.发行和宣传推广实际支出项目及资金额度（万元）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预算资金额度（万元）；3.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已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发行和宣传推广重点措施、数量规模、主要特色等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拟采取的发行和宣传推广重点措施及进度安排等；4.已取得的社会效益、经济效益。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240" w:line="620" w:lineRule="exact"/>
              <w:ind w:left="280" w:hanging="280" w:hanging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240"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left"/>
        <w:textAlignment w:val="auto"/>
        <w:rPr>
          <w:rFonts w:ascii="黑体" w:hAnsi="黑体" w:eastAsia="黑体" w:cs="黑体"/>
          <w:sz w:val="32"/>
          <w:szCs w:val="32"/>
        </w:rPr>
      </w:pPr>
    </w:p>
    <w:tbl>
      <w:tblPr>
        <w:tblStyle w:val="4"/>
        <w:tblpPr w:leftFromText="180" w:rightFromText="180" w:vertAnchor="text" w:horzAnchor="page" w:tblpX="1784" w:tblpY="137"/>
        <w:tblOverlap w:val="never"/>
        <w:tblW w:w="8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6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40" w:hRule="atLeast"/>
        </w:trPr>
        <w:tc>
          <w:tcPr>
            <w:tcW w:w="1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240" w:line="620" w:lineRule="exact"/>
              <w:jc w:val="center"/>
              <w:textAlignment w:val="auto"/>
              <w:rPr>
                <w:rFonts w:hint="default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100"/>
                <w:kern w:val="0"/>
                <w:sz w:val="28"/>
                <w:szCs w:val="28"/>
              </w:rPr>
              <w:t>申请资助资金及测算说明</w:t>
            </w:r>
            <w:r>
              <w:rPr>
                <w:rFonts w:hint="eastAsia" w:ascii="黑体" w:hAnsi="黑体" w:eastAsia="黑体" w:cs="黑体"/>
                <w:w w:val="1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w w:val="90"/>
                <w:kern w:val="0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（300字左右）</w:t>
            </w:r>
          </w:p>
        </w:tc>
        <w:tc>
          <w:tcPr>
            <w:tcW w:w="68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 xml:space="preserve">（填写请用四号仿宋字体）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主要内容包括：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1.申请资助资金额度；2.资助资金具体使用安排及测算依据。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240" w:line="620" w:lineRule="exact"/>
              <w:ind w:left="280" w:hanging="280" w:hanging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240"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黑体" w:hAnsi="黑体" w:eastAsia="黑体" w:cs="黑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ascii="黑体" w:hAnsi="黑体" w:eastAsia="黑体" w:cs="黑体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</w:t>
      </w:r>
      <w:r>
        <w:rPr>
          <w:rFonts w:hint="eastAsia" w:ascii="黑体" w:hAnsi="黑体" w:eastAsia="黑体"/>
          <w:sz w:val="28"/>
          <w:szCs w:val="28"/>
        </w:rPr>
        <w:t>已公映影片</w:t>
      </w:r>
      <w:r>
        <w:rPr>
          <w:rFonts w:hint="eastAsia" w:ascii="黑体" w:hAnsi="黑体" w:eastAsia="黑体" w:cs="黑体"/>
          <w:sz w:val="28"/>
          <w:szCs w:val="28"/>
        </w:rPr>
        <w:t>绩效设置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8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9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黑体" w:hAnsi="黑体" w:eastAsia="黑体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黑体" w:hAnsi="黑体" w:eastAsia="黑体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6977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影院放映数量</w:t>
            </w:r>
          </w:p>
        </w:tc>
        <w:tc>
          <w:tcPr>
            <w:tcW w:w="174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6977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放映总场次</w:t>
            </w:r>
          </w:p>
        </w:tc>
        <w:tc>
          <w:tcPr>
            <w:tcW w:w="174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6977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宣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传物料种类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（海报、展架、影院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LE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w w:val="100"/>
                <w:kern w:val="0"/>
                <w:sz w:val="28"/>
                <w:szCs w:val="28"/>
              </w:rPr>
              <w:t>D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w w:val="100"/>
                <w:kern w:val="0"/>
                <w:sz w:val="28"/>
                <w:szCs w:val="28"/>
              </w:rPr>
              <w:t>屏、户外大屏、预告片、短视频、特辑、推广曲等）</w:t>
            </w:r>
          </w:p>
        </w:tc>
        <w:tc>
          <w:tcPr>
            <w:tcW w:w="174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6977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宣传推广渠道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种类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社交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媒体、电视媒体、平面媒体、户外媒介、影院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阵地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等）</w:t>
            </w:r>
          </w:p>
        </w:tc>
        <w:tc>
          <w:tcPr>
            <w:tcW w:w="174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6977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宣传推广活动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场次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（首映礼、发布会、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院线看片会、研讨会、媒体推介场、直播、路演、直播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售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票等）</w:t>
            </w:r>
          </w:p>
        </w:tc>
        <w:tc>
          <w:tcPr>
            <w:tcW w:w="174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6977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实现总票房</w:t>
            </w:r>
          </w:p>
        </w:tc>
        <w:tc>
          <w:tcPr>
            <w:tcW w:w="174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6977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实现观影总人次</w:t>
            </w:r>
          </w:p>
        </w:tc>
        <w:tc>
          <w:tcPr>
            <w:tcW w:w="174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0" w:type="auto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影片社会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反响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（包括专业评价和社会评价，须提供相关材料）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□较好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□一般</w:t>
            </w:r>
          </w:p>
        </w:tc>
      </w:tr>
    </w:tbl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说明：申报时须附以上绩效指标完成的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彩印</w:t>
      </w:r>
      <w:r>
        <w:rPr>
          <w:rFonts w:hint="eastAsia" w:ascii="仿宋_GB2312" w:hAnsi="仿宋_GB2312" w:eastAsia="仿宋_GB2312" w:cs="仿宋_GB2312"/>
          <w:sz w:val="28"/>
          <w:szCs w:val="28"/>
        </w:rPr>
        <w:t>凭证，包括图片、网页截屏、文字材料等，提供的凭证要真实、清晰、量化。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</w:t>
      </w:r>
      <w:r>
        <w:rPr>
          <w:rFonts w:hint="eastAsia" w:ascii="黑体" w:hAnsi="黑体" w:eastAsia="黑体"/>
          <w:sz w:val="28"/>
          <w:szCs w:val="28"/>
        </w:rPr>
        <w:t>尚未公映影片</w:t>
      </w:r>
      <w:r>
        <w:rPr>
          <w:rFonts w:hint="eastAsia" w:ascii="黑体" w:hAnsi="黑体" w:eastAsia="黑体" w:cs="黑体"/>
          <w:sz w:val="28"/>
          <w:szCs w:val="28"/>
        </w:rPr>
        <w:t>绩效设置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0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1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黑体" w:hAnsi="黑体" w:eastAsia="黑体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黑体" w:hAnsi="黑体" w:eastAsia="黑体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712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发行和宣传推广城市数量</w:t>
            </w:r>
          </w:p>
        </w:tc>
        <w:tc>
          <w:tcPr>
            <w:tcW w:w="160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712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放映场所数量（经营性电影放映单位及非经营性电影放映单位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并产生有效放映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）</w:t>
            </w:r>
          </w:p>
        </w:tc>
        <w:tc>
          <w:tcPr>
            <w:tcW w:w="160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712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宣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传物料种类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（海报、展架、影院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LE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w w:val="100"/>
                <w:kern w:val="0"/>
                <w:sz w:val="28"/>
                <w:szCs w:val="28"/>
              </w:rPr>
              <w:t>D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w w:val="100"/>
                <w:kern w:val="0"/>
                <w:sz w:val="28"/>
                <w:szCs w:val="28"/>
              </w:rPr>
              <w:t>屏、户外大屏、预告片、短视频、特辑、推广曲等）</w:t>
            </w:r>
          </w:p>
        </w:tc>
        <w:tc>
          <w:tcPr>
            <w:tcW w:w="160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12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宣传推广渠道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种类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社交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媒体、电视媒体、平面媒体、户外媒介、影院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阵地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等）</w:t>
            </w:r>
          </w:p>
        </w:tc>
        <w:tc>
          <w:tcPr>
            <w:tcW w:w="160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712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宣传推广活动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场次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（首映礼、发布会、院线看片会、校园活动、研讨会、媒体推介场、直播、路演、直播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售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票等）</w:t>
            </w:r>
          </w:p>
        </w:tc>
        <w:tc>
          <w:tcPr>
            <w:tcW w:w="160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712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影片社会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反响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（包括专业评价和社会评价，须提供相关材料）</w:t>
            </w:r>
            <w:bookmarkStart w:id="1" w:name="_GoBack"/>
            <w:bookmarkEnd w:id="1"/>
          </w:p>
        </w:tc>
        <w:tc>
          <w:tcPr>
            <w:tcW w:w="160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□较好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□一般</w:t>
            </w:r>
          </w:p>
        </w:tc>
      </w:tr>
    </w:tbl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说明：影片在公映后及时提供《电影公映许可证》以及以上绩效指标完成的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彩印</w:t>
      </w:r>
      <w:r>
        <w:rPr>
          <w:rFonts w:hint="eastAsia" w:ascii="仿宋_GB2312" w:hAnsi="仿宋_GB2312" w:eastAsia="仿宋_GB2312" w:cs="仿宋_GB2312"/>
          <w:sz w:val="28"/>
          <w:szCs w:val="28"/>
        </w:rPr>
        <w:t>凭证，包括图片、网页截屏、文字材料等，提供的凭证要真实、清晰、量化。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4" w:type="default"/>
      <w:footerReference r:id="rId5" w:type="default"/>
      <w:pgSz w:w="11906" w:h="16838"/>
      <w:pgMar w:top="2268" w:right="1701" w:bottom="1701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方正宋体S-超大字符集(SIP)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4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DLW7l30AAAAAIBAAAPAAAAAAAAAAEAIAAAADgAAABk&#10;cnMvZG93bnJldi54bWxQSwECFAAUAAAACACHTuJAQb6JIvgBAAAABAAADgAAAAAAAAABACAAAAA1&#10;AQAAZHJzL2Uyb0RvYy54bWxQSwUGAAAAAAYABgBZAQAAn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2B03C3"/>
    <w:multiLevelType w:val="singleLevel"/>
    <w:tmpl w:val="762B03C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2ZWQ2NzIzOTI3NGNkZWFhOTU2YTIyMzU5MWExOWYifQ=="/>
  </w:docVars>
  <w:rsids>
    <w:rsidRoot w:val="00621EDC"/>
    <w:rsid w:val="00041C96"/>
    <w:rsid w:val="00053A3E"/>
    <w:rsid w:val="00076CD6"/>
    <w:rsid w:val="00083509"/>
    <w:rsid w:val="00084187"/>
    <w:rsid w:val="000B5D12"/>
    <w:rsid w:val="000D3201"/>
    <w:rsid w:val="000D3B61"/>
    <w:rsid w:val="00107C9A"/>
    <w:rsid w:val="00126FF2"/>
    <w:rsid w:val="001566A2"/>
    <w:rsid w:val="00167252"/>
    <w:rsid w:val="00182F9E"/>
    <w:rsid w:val="00197784"/>
    <w:rsid w:val="001A3081"/>
    <w:rsid w:val="001C0EDE"/>
    <w:rsid w:val="001C6A63"/>
    <w:rsid w:val="001D60CC"/>
    <w:rsid w:val="00201211"/>
    <w:rsid w:val="002061E3"/>
    <w:rsid w:val="002134A9"/>
    <w:rsid w:val="0022189E"/>
    <w:rsid w:val="00225639"/>
    <w:rsid w:val="00226533"/>
    <w:rsid w:val="00233643"/>
    <w:rsid w:val="00250CAD"/>
    <w:rsid w:val="0026167F"/>
    <w:rsid w:val="00262B8B"/>
    <w:rsid w:val="00265961"/>
    <w:rsid w:val="0027259B"/>
    <w:rsid w:val="00283E05"/>
    <w:rsid w:val="002A1AE7"/>
    <w:rsid w:val="002B318B"/>
    <w:rsid w:val="002F2333"/>
    <w:rsid w:val="00316196"/>
    <w:rsid w:val="003168EA"/>
    <w:rsid w:val="00353C1C"/>
    <w:rsid w:val="00355F7E"/>
    <w:rsid w:val="003579C6"/>
    <w:rsid w:val="003702AF"/>
    <w:rsid w:val="00371702"/>
    <w:rsid w:val="003B2AF8"/>
    <w:rsid w:val="003B495E"/>
    <w:rsid w:val="003C13D5"/>
    <w:rsid w:val="003E51D8"/>
    <w:rsid w:val="003F61D4"/>
    <w:rsid w:val="0040744A"/>
    <w:rsid w:val="00415455"/>
    <w:rsid w:val="004154AF"/>
    <w:rsid w:val="004305AE"/>
    <w:rsid w:val="00441A14"/>
    <w:rsid w:val="004534B5"/>
    <w:rsid w:val="004809BA"/>
    <w:rsid w:val="00481B26"/>
    <w:rsid w:val="00481D4C"/>
    <w:rsid w:val="004968E4"/>
    <w:rsid w:val="004A3AFC"/>
    <w:rsid w:val="004B5303"/>
    <w:rsid w:val="004D00CA"/>
    <w:rsid w:val="004D08BB"/>
    <w:rsid w:val="004D22B2"/>
    <w:rsid w:val="004E4636"/>
    <w:rsid w:val="004E73D9"/>
    <w:rsid w:val="004F4E48"/>
    <w:rsid w:val="0050137B"/>
    <w:rsid w:val="00503C0C"/>
    <w:rsid w:val="00517577"/>
    <w:rsid w:val="00527143"/>
    <w:rsid w:val="005452FB"/>
    <w:rsid w:val="0055020E"/>
    <w:rsid w:val="005A6C57"/>
    <w:rsid w:val="005D4420"/>
    <w:rsid w:val="005E162A"/>
    <w:rsid w:val="005F2969"/>
    <w:rsid w:val="006031D3"/>
    <w:rsid w:val="0061110A"/>
    <w:rsid w:val="00611729"/>
    <w:rsid w:val="006210B8"/>
    <w:rsid w:val="00621EDC"/>
    <w:rsid w:val="00634C6F"/>
    <w:rsid w:val="00635F89"/>
    <w:rsid w:val="0063726B"/>
    <w:rsid w:val="00640801"/>
    <w:rsid w:val="00640FB4"/>
    <w:rsid w:val="00654A28"/>
    <w:rsid w:val="00667085"/>
    <w:rsid w:val="006C6143"/>
    <w:rsid w:val="006E48D6"/>
    <w:rsid w:val="006E7095"/>
    <w:rsid w:val="006F0E2D"/>
    <w:rsid w:val="00714966"/>
    <w:rsid w:val="00727E1C"/>
    <w:rsid w:val="00747988"/>
    <w:rsid w:val="00766569"/>
    <w:rsid w:val="00766CCA"/>
    <w:rsid w:val="00793585"/>
    <w:rsid w:val="007A2A58"/>
    <w:rsid w:val="007B39CD"/>
    <w:rsid w:val="007B6984"/>
    <w:rsid w:val="007D0B01"/>
    <w:rsid w:val="007E316A"/>
    <w:rsid w:val="00802258"/>
    <w:rsid w:val="00817F1D"/>
    <w:rsid w:val="00820D2C"/>
    <w:rsid w:val="00820D43"/>
    <w:rsid w:val="008543C9"/>
    <w:rsid w:val="0085681A"/>
    <w:rsid w:val="008641D9"/>
    <w:rsid w:val="008664D0"/>
    <w:rsid w:val="0087053E"/>
    <w:rsid w:val="00894017"/>
    <w:rsid w:val="00896705"/>
    <w:rsid w:val="008B0273"/>
    <w:rsid w:val="008C44D5"/>
    <w:rsid w:val="008D79CB"/>
    <w:rsid w:val="008F59BA"/>
    <w:rsid w:val="00903B6B"/>
    <w:rsid w:val="00921283"/>
    <w:rsid w:val="00941079"/>
    <w:rsid w:val="009531F1"/>
    <w:rsid w:val="009572F3"/>
    <w:rsid w:val="009610E2"/>
    <w:rsid w:val="00966734"/>
    <w:rsid w:val="009712FA"/>
    <w:rsid w:val="00981170"/>
    <w:rsid w:val="00996609"/>
    <w:rsid w:val="009C1806"/>
    <w:rsid w:val="009D2F74"/>
    <w:rsid w:val="009E319B"/>
    <w:rsid w:val="009E3ABC"/>
    <w:rsid w:val="009F4E04"/>
    <w:rsid w:val="00A440CE"/>
    <w:rsid w:val="00A60193"/>
    <w:rsid w:val="00A60EB9"/>
    <w:rsid w:val="00A61889"/>
    <w:rsid w:val="00A84D1E"/>
    <w:rsid w:val="00A86C17"/>
    <w:rsid w:val="00AA2C1E"/>
    <w:rsid w:val="00AC138C"/>
    <w:rsid w:val="00AC554E"/>
    <w:rsid w:val="00AD4B8F"/>
    <w:rsid w:val="00AE3DC2"/>
    <w:rsid w:val="00AF6E32"/>
    <w:rsid w:val="00B04C76"/>
    <w:rsid w:val="00B27FCE"/>
    <w:rsid w:val="00B32CDE"/>
    <w:rsid w:val="00B653B2"/>
    <w:rsid w:val="00B801D7"/>
    <w:rsid w:val="00B95B2E"/>
    <w:rsid w:val="00BB1CFC"/>
    <w:rsid w:val="00BE09A7"/>
    <w:rsid w:val="00BE7C38"/>
    <w:rsid w:val="00BE7E53"/>
    <w:rsid w:val="00BF04B4"/>
    <w:rsid w:val="00C23392"/>
    <w:rsid w:val="00C23952"/>
    <w:rsid w:val="00C3061C"/>
    <w:rsid w:val="00C31C83"/>
    <w:rsid w:val="00C34514"/>
    <w:rsid w:val="00C35E00"/>
    <w:rsid w:val="00C818BA"/>
    <w:rsid w:val="00CA743B"/>
    <w:rsid w:val="00CB61B7"/>
    <w:rsid w:val="00CE551D"/>
    <w:rsid w:val="00CF0D76"/>
    <w:rsid w:val="00D039F7"/>
    <w:rsid w:val="00D06048"/>
    <w:rsid w:val="00D54F79"/>
    <w:rsid w:val="00D6307B"/>
    <w:rsid w:val="00D74A18"/>
    <w:rsid w:val="00D8411C"/>
    <w:rsid w:val="00DC5BD4"/>
    <w:rsid w:val="00DD114C"/>
    <w:rsid w:val="00DE6D97"/>
    <w:rsid w:val="00E27561"/>
    <w:rsid w:val="00E42766"/>
    <w:rsid w:val="00E52333"/>
    <w:rsid w:val="00E6216C"/>
    <w:rsid w:val="00E65C1F"/>
    <w:rsid w:val="00E77D29"/>
    <w:rsid w:val="00EB4609"/>
    <w:rsid w:val="00EC4350"/>
    <w:rsid w:val="00EE0229"/>
    <w:rsid w:val="00EE1716"/>
    <w:rsid w:val="00EE31DA"/>
    <w:rsid w:val="00EE3A12"/>
    <w:rsid w:val="00F12B2C"/>
    <w:rsid w:val="00F452CC"/>
    <w:rsid w:val="00F57279"/>
    <w:rsid w:val="00F65467"/>
    <w:rsid w:val="00F857EC"/>
    <w:rsid w:val="00F862F8"/>
    <w:rsid w:val="00F911F3"/>
    <w:rsid w:val="00FB5D3A"/>
    <w:rsid w:val="00FC6441"/>
    <w:rsid w:val="00FE196B"/>
    <w:rsid w:val="00FE675B"/>
    <w:rsid w:val="020D0892"/>
    <w:rsid w:val="04ED4BEA"/>
    <w:rsid w:val="09045F63"/>
    <w:rsid w:val="094F0EA4"/>
    <w:rsid w:val="0AE40FD3"/>
    <w:rsid w:val="12FB15A1"/>
    <w:rsid w:val="138228A6"/>
    <w:rsid w:val="160B2DE1"/>
    <w:rsid w:val="170D06D9"/>
    <w:rsid w:val="185C1667"/>
    <w:rsid w:val="19346B83"/>
    <w:rsid w:val="19A40CCC"/>
    <w:rsid w:val="1BA26A4C"/>
    <w:rsid w:val="1CFB40D9"/>
    <w:rsid w:val="1D5A3C8F"/>
    <w:rsid w:val="1D5C1D35"/>
    <w:rsid w:val="1D9F2FC2"/>
    <w:rsid w:val="1F53758D"/>
    <w:rsid w:val="1F8F7A43"/>
    <w:rsid w:val="20AE06A0"/>
    <w:rsid w:val="229B6373"/>
    <w:rsid w:val="231661AA"/>
    <w:rsid w:val="234B2BC4"/>
    <w:rsid w:val="23C23727"/>
    <w:rsid w:val="23CE7442"/>
    <w:rsid w:val="260B04D9"/>
    <w:rsid w:val="26DC53CF"/>
    <w:rsid w:val="26DC7362"/>
    <w:rsid w:val="270134E9"/>
    <w:rsid w:val="29143D57"/>
    <w:rsid w:val="2A3E342F"/>
    <w:rsid w:val="2A915ECE"/>
    <w:rsid w:val="2AFE7467"/>
    <w:rsid w:val="2BD874D9"/>
    <w:rsid w:val="2C8D41C5"/>
    <w:rsid w:val="2D402CDE"/>
    <w:rsid w:val="2F8855A6"/>
    <w:rsid w:val="309F6737"/>
    <w:rsid w:val="30C714A1"/>
    <w:rsid w:val="31C854D0"/>
    <w:rsid w:val="32187977"/>
    <w:rsid w:val="32DC22C6"/>
    <w:rsid w:val="32F04163"/>
    <w:rsid w:val="33967F21"/>
    <w:rsid w:val="341060AA"/>
    <w:rsid w:val="345C1BC3"/>
    <w:rsid w:val="34F845CF"/>
    <w:rsid w:val="35114E5A"/>
    <w:rsid w:val="35AE5FE3"/>
    <w:rsid w:val="35DB2467"/>
    <w:rsid w:val="38C2488B"/>
    <w:rsid w:val="39D0586A"/>
    <w:rsid w:val="3C1001A0"/>
    <w:rsid w:val="3CCF523A"/>
    <w:rsid w:val="3D642372"/>
    <w:rsid w:val="3E930D36"/>
    <w:rsid w:val="3FA030D4"/>
    <w:rsid w:val="404504C1"/>
    <w:rsid w:val="420E558C"/>
    <w:rsid w:val="427766CB"/>
    <w:rsid w:val="42E269EB"/>
    <w:rsid w:val="436665C7"/>
    <w:rsid w:val="441D4C90"/>
    <w:rsid w:val="44BD6835"/>
    <w:rsid w:val="45F960FA"/>
    <w:rsid w:val="480708BE"/>
    <w:rsid w:val="4884310C"/>
    <w:rsid w:val="4A577A02"/>
    <w:rsid w:val="4C116F4A"/>
    <w:rsid w:val="4C6E4F8A"/>
    <w:rsid w:val="4CEA2692"/>
    <w:rsid w:val="4EC17584"/>
    <w:rsid w:val="50D723A3"/>
    <w:rsid w:val="514E796B"/>
    <w:rsid w:val="51B7313F"/>
    <w:rsid w:val="529E3500"/>
    <w:rsid w:val="52A214C0"/>
    <w:rsid w:val="52E631CD"/>
    <w:rsid w:val="53AE74FC"/>
    <w:rsid w:val="54BF05D5"/>
    <w:rsid w:val="554546AA"/>
    <w:rsid w:val="56904DED"/>
    <w:rsid w:val="57277A45"/>
    <w:rsid w:val="57A65062"/>
    <w:rsid w:val="5C7C4619"/>
    <w:rsid w:val="5CDE1364"/>
    <w:rsid w:val="5D06063D"/>
    <w:rsid w:val="5D841D82"/>
    <w:rsid w:val="5FE03056"/>
    <w:rsid w:val="60377C61"/>
    <w:rsid w:val="618A1DAD"/>
    <w:rsid w:val="622F5375"/>
    <w:rsid w:val="624C1B05"/>
    <w:rsid w:val="62D11093"/>
    <w:rsid w:val="64526C24"/>
    <w:rsid w:val="64AC70DB"/>
    <w:rsid w:val="65717E98"/>
    <w:rsid w:val="66CD2D59"/>
    <w:rsid w:val="680A7807"/>
    <w:rsid w:val="68B06CAD"/>
    <w:rsid w:val="68EA3D47"/>
    <w:rsid w:val="690D31FB"/>
    <w:rsid w:val="69FD34DD"/>
    <w:rsid w:val="6A4C6F26"/>
    <w:rsid w:val="6B4743E2"/>
    <w:rsid w:val="6BA44DF8"/>
    <w:rsid w:val="6BC32B29"/>
    <w:rsid w:val="6BF42241"/>
    <w:rsid w:val="6BFD475F"/>
    <w:rsid w:val="6C717F0A"/>
    <w:rsid w:val="6CBC7549"/>
    <w:rsid w:val="6D597BED"/>
    <w:rsid w:val="70306D2A"/>
    <w:rsid w:val="70634644"/>
    <w:rsid w:val="722F294A"/>
    <w:rsid w:val="72B13AFE"/>
    <w:rsid w:val="73EF6311"/>
    <w:rsid w:val="74E95F0C"/>
    <w:rsid w:val="750903A0"/>
    <w:rsid w:val="77022DDD"/>
    <w:rsid w:val="771F2095"/>
    <w:rsid w:val="797F1240"/>
    <w:rsid w:val="799D6036"/>
    <w:rsid w:val="79C10BDE"/>
    <w:rsid w:val="7A747AF3"/>
    <w:rsid w:val="7A762ECE"/>
    <w:rsid w:val="7B4D13BF"/>
    <w:rsid w:val="7C1C7EBF"/>
    <w:rsid w:val="7F437DA1"/>
    <w:rsid w:val="7F8D29B2"/>
    <w:rsid w:val="7FE651F6"/>
    <w:rsid w:val="DF7FEC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basedOn w:val="6"/>
    <w:link w:val="2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页眉 Char"/>
    <w:basedOn w:val="6"/>
    <w:link w:val="3"/>
    <w:qFormat/>
    <w:uiPriority w:val="99"/>
    <w:rPr>
      <w:rFonts w:ascii="Calibri" w:hAnsi="Calibri" w:eastAsia="宋体" w:cs="Calibri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879</Words>
  <Characters>994</Characters>
  <Lines>13</Lines>
  <Paragraphs>3</Paragraphs>
  <TotalTime>1</TotalTime>
  <ScaleCrop>false</ScaleCrop>
  <LinksUpToDate>false</LinksUpToDate>
  <CharactersWithSpaces>1112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2023-02-24T11:28:00Z</dcterms:created>
  <dc:creator>QYH</dc:creator>
  <cp:lastModifiedBy>greatwall</cp:lastModifiedBy>
  <cp:lastPrinted>2025-02-10T15:33:00Z</cp:lastPrinted>
  <dcterms:modified xsi:type="dcterms:W3CDTF">2025-02-26T11:00:28Z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2A18FC83987448FAB9CBA00F34D0A38F</vt:lpwstr>
  </property>
  <property fmtid="{D5CDD505-2E9C-101B-9397-08002B2CF9AE}" pid="4" name="KSOTemplateDocerSaveRecord">
    <vt:lpwstr>eyJoZGlkIjoiMWM2ZWQ2NzIzOTI3NGNkZWFhOTU2YTIyMzU5MWExOWYiLCJ1c2VySWQiOiI0NzA3NDMxMTEifQ==</vt:lpwstr>
  </property>
</Properties>
</file>